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1B" w:rsidRDefault="0042411B" w:rsidP="008E6501"/>
    <w:p w:rsidR="008E6501" w:rsidRDefault="0042411B" w:rsidP="008E6501">
      <w:r>
        <w:t xml:space="preserve">Source: </w:t>
      </w:r>
      <w:hyperlink r:id="rId5" w:history="1">
        <w:r w:rsidR="003C0C84">
          <w:rPr>
            <w:rStyle w:val="Hyperlink"/>
          </w:rPr>
          <w:t>https://biosciadmin.stanford.edu/2019/11/t32-program-websites/</w:t>
        </w:r>
      </w:hyperlink>
    </w:p>
    <w:p w:rsidR="00F92C53" w:rsidRDefault="003C0C84" w:rsidP="000E2907">
      <w:pPr>
        <w:rPr>
          <w:rFonts w:eastAsiaTheme="majorEastAsia" w:cstheme="majorBidi"/>
          <w:b/>
          <w:bCs/>
          <w:sz w:val="30"/>
          <w:szCs w:val="28"/>
        </w:rPr>
      </w:pPr>
      <w:r>
        <w:rPr>
          <w:rFonts w:eastAsiaTheme="majorEastAsia" w:cstheme="majorBidi"/>
          <w:b/>
          <w:bCs/>
          <w:sz w:val="30"/>
          <w:szCs w:val="28"/>
        </w:rPr>
        <w:t>T32 Program Websites</w:t>
      </w:r>
    </w:p>
    <w:p w:rsidR="003C0C84" w:rsidRDefault="00DC1B96" w:rsidP="003C0C84">
      <w:pPr>
        <w:numPr>
          <w:ilvl w:val="0"/>
          <w:numId w:val="14"/>
        </w:numPr>
        <w:spacing w:before="100" w:beforeAutospacing="1" w:after="100" w:afterAutospacing="1" w:line="360" w:lineRule="atLeast"/>
        <w:rPr>
          <w:color w:val="2E2D29"/>
        </w:rPr>
      </w:pPr>
      <w:hyperlink r:id="rId6" w:history="1">
        <w:r w:rsidR="003C0C84">
          <w:rPr>
            <w:rStyle w:val="Hyperlink"/>
            <w:color w:val="2E2D29"/>
          </w:rPr>
          <w:t>Medical Scientist Training Program</w:t>
        </w:r>
      </w:hyperlink>
    </w:p>
    <w:p w:rsidR="003C0C84" w:rsidRDefault="00DC1B96" w:rsidP="003C0C84">
      <w:pPr>
        <w:numPr>
          <w:ilvl w:val="0"/>
          <w:numId w:val="14"/>
        </w:numPr>
        <w:spacing w:before="100" w:beforeAutospacing="1" w:after="100" w:afterAutospacing="1" w:line="360" w:lineRule="atLeast"/>
        <w:rPr>
          <w:color w:val="2E2D29"/>
        </w:rPr>
      </w:pPr>
      <w:hyperlink r:id="rId7" w:history="1">
        <w:r w:rsidR="003C0C84">
          <w:rPr>
            <w:rStyle w:val="Hyperlink"/>
            <w:color w:val="2E2D29"/>
          </w:rPr>
          <w:t>Cellular and Molecular Biology Training Program</w:t>
        </w:r>
      </w:hyperlink>
    </w:p>
    <w:p w:rsidR="003C0C84" w:rsidRPr="00380EB2" w:rsidRDefault="00DC1B96" w:rsidP="003C0C84">
      <w:pPr>
        <w:numPr>
          <w:ilvl w:val="0"/>
          <w:numId w:val="14"/>
        </w:numPr>
        <w:spacing w:before="100" w:beforeAutospacing="1" w:after="100" w:afterAutospacing="1" w:line="360" w:lineRule="atLeast"/>
      </w:pPr>
      <w:hyperlink r:id="rId8" w:history="1">
        <w:r w:rsidR="003C0C84" w:rsidRPr="00380EB2">
          <w:rPr>
            <w:rStyle w:val="Hyperlink"/>
            <w:color w:val="000000" w:themeColor="text1"/>
          </w:rPr>
          <w:t>Molecular and Cellular Immunobiology</w:t>
        </w:r>
      </w:hyperlink>
    </w:p>
    <w:p w:rsidR="00380EB2" w:rsidRPr="00380EB2" w:rsidRDefault="00DC1B96" w:rsidP="003C0C84">
      <w:pPr>
        <w:numPr>
          <w:ilvl w:val="0"/>
          <w:numId w:val="14"/>
        </w:numPr>
        <w:spacing w:before="100" w:beforeAutospacing="1" w:after="100" w:afterAutospacing="1" w:line="360" w:lineRule="atLeast"/>
      </w:pPr>
      <w:hyperlink r:id="rId9" w:history="1">
        <w:r w:rsidR="00380EB2" w:rsidRPr="00380EB2">
          <w:rPr>
            <w:rStyle w:val="Hyperlink"/>
            <w:color w:val="000000" w:themeColor="text1"/>
          </w:rPr>
          <w:t>Molecular Pharmacology Training Program</w:t>
        </w:r>
      </w:hyperlink>
      <w:r w:rsidR="00380EB2" w:rsidRPr="00380EB2">
        <w:t xml:space="preserve"> </w:t>
      </w:r>
    </w:p>
    <w:p w:rsidR="003C0C84" w:rsidRPr="00380EB2" w:rsidRDefault="00DC1B96" w:rsidP="003C0C84">
      <w:pPr>
        <w:numPr>
          <w:ilvl w:val="0"/>
          <w:numId w:val="14"/>
        </w:numPr>
        <w:spacing w:before="100" w:beforeAutospacing="1" w:after="100" w:afterAutospacing="1" w:line="360" w:lineRule="atLeast"/>
      </w:pPr>
      <w:hyperlink r:id="rId10" w:history="1">
        <w:r w:rsidR="003C0C84" w:rsidRPr="00380EB2">
          <w:rPr>
            <w:rStyle w:val="Hyperlink"/>
            <w:color w:val="000000" w:themeColor="text1"/>
          </w:rPr>
          <w:t>Cancer Etiology, Prevention, Detection and Diagnosis</w:t>
        </w:r>
      </w:hyperlink>
    </w:p>
    <w:p w:rsidR="003C0C84" w:rsidRPr="00380EB2" w:rsidRDefault="00DC1B96" w:rsidP="003C0C84">
      <w:pPr>
        <w:numPr>
          <w:ilvl w:val="0"/>
          <w:numId w:val="14"/>
        </w:numPr>
        <w:spacing w:before="100" w:beforeAutospacing="1" w:after="100" w:afterAutospacing="1" w:line="360" w:lineRule="atLeast"/>
      </w:pPr>
      <w:hyperlink r:id="rId11" w:history="1">
        <w:r w:rsidR="003C0C84" w:rsidRPr="00380EB2">
          <w:rPr>
            <w:rStyle w:val="Hyperlink"/>
            <w:color w:val="000000" w:themeColor="text1"/>
          </w:rPr>
          <w:t>Neurosciences Research Training</w:t>
        </w:r>
      </w:hyperlink>
    </w:p>
    <w:p w:rsidR="003C0C84" w:rsidRDefault="00DC1B96" w:rsidP="003C0C84">
      <w:pPr>
        <w:numPr>
          <w:ilvl w:val="0"/>
          <w:numId w:val="14"/>
        </w:numPr>
        <w:spacing w:before="100" w:beforeAutospacing="1" w:after="100" w:afterAutospacing="1" w:line="360" w:lineRule="atLeast"/>
        <w:rPr>
          <w:color w:val="2E2D29"/>
        </w:rPr>
      </w:pPr>
      <w:hyperlink r:id="rId12" w:history="1">
        <w:r w:rsidR="003C0C84">
          <w:rPr>
            <w:rStyle w:val="Hyperlink"/>
            <w:color w:val="2E2D29"/>
          </w:rPr>
          <w:t>Genetics and Development Biology Training Program</w:t>
        </w:r>
      </w:hyperlink>
    </w:p>
    <w:p w:rsidR="003C0C84" w:rsidRDefault="00DC1B96" w:rsidP="003C0C84">
      <w:pPr>
        <w:numPr>
          <w:ilvl w:val="0"/>
          <w:numId w:val="14"/>
        </w:numPr>
        <w:spacing w:before="100" w:beforeAutospacing="1" w:after="100" w:afterAutospacing="1" w:line="360" w:lineRule="atLeast"/>
        <w:rPr>
          <w:color w:val="2E2D29"/>
        </w:rPr>
      </w:pPr>
      <w:hyperlink r:id="rId13" w:history="1">
        <w:r w:rsidR="003C0C84">
          <w:rPr>
            <w:rStyle w:val="Hyperlink"/>
            <w:color w:val="2E2D29"/>
          </w:rPr>
          <w:t>Graduate Training Program in Biotechnology</w:t>
        </w:r>
      </w:hyperlink>
    </w:p>
    <w:p w:rsidR="003C0C84" w:rsidRDefault="00DC1B96" w:rsidP="003C0C84">
      <w:pPr>
        <w:numPr>
          <w:ilvl w:val="0"/>
          <w:numId w:val="14"/>
        </w:numPr>
        <w:spacing w:before="100" w:beforeAutospacing="1" w:after="100" w:afterAutospacing="1" w:line="360" w:lineRule="atLeast"/>
        <w:rPr>
          <w:color w:val="2E2D29"/>
        </w:rPr>
      </w:pPr>
      <w:hyperlink r:id="rId14" w:history="1">
        <w:r w:rsidR="003C0C84">
          <w:rPr>
            <w:rStyle w:val="Hyperlink"/>
            <w:color w:val="2E2D29"/>
          </w:rPr>
          <w:t>Stanford Health Services Research Training Program</w:t>
        </w:r>
      </w:hyperlink>
    </w:p>
    <w:p w:rsidR="003C0C84" w:rsidRDefault="00DC1B96" w:rsidP="003C0C84">
      <w:pPr>
        <w:numPr>
          <w:ilvl w:val="0"/>
          <w:numId w:val="14"/>
        </w:numPr>
        <w:spacing w:before="100" w:beforeAutospacing="1" w:after="100" w:afterAutospacing="1" w:line="360" w:lineRule="atLeast"/>
        <w:rPr>
          <w:color w:val="2E2D29"/>
        </w:rPr>
      </w:pPr>
      <w:hyperlink r:id="rId15" w:history="1">
        <w:r w:rsidR="003C0C84">
          <w:rPr>
            <w:rStyle w:val="Hyperlink"/>
            <w:color w:val="2E2D29"/>
          </w:rPr>
          <w:t>Stanford CHEM-H Chemistry/Biology Interface Predoctoral Training Program</w:t>
        </w:r>
      </w:hyperlink>
    </w:p>
    <w:p w:rsidR="00DF40CA" w:rsidRPr="008E6501" w:rsidRDefault="00DA74C9" w:rsidP="003C0C84"/>
    <w:sectPr w:rsidR="00DF40CA" w:rsidRPr="008E6501" w:rsidSect="0067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B78"/>
    <w:multiLevelType w:val="hybridMultilevel"/>
    <w:tmpl w:val="3E14D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B5C1D"/>
    <w:multiLevelType w:val="multilevel"/>
    <w:tmpl w:val="3CDAC5E2"/>
    <w:styleLink w:val="In-Table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A4391"/>
    <w:multiLevelType w:val="hybridMultilevel"/>
    <w:tmpl w:val="C53AE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50DA9"/>
    <w:multiLevelType w:val="hybridMultilevel"/>
    <w:tmpl w:val="771A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55954"/>
    <w:multiLevelType w:val="multilevel"/>
    <w:tmpl w:val="7B66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E6082"/>
    <w:multiLevelType w:val="multilevel"/>
    <w:tmpl w:val="3E78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2533C"/>
    <w:multiLevelType w:val="multilevel"/>
    <w:tmpl w:val="D640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C7BE7"/>
    <w:multiLevelType w:val="multilevel"/>
    <w:tmpl w:val="4A8099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A60AA"/>
    <w:multiLevelType w:val="multilevel"/>
    <w:tmpl w:val="5C4A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B3370"/>
    <w:multiLevelType w:val="multilevel"/>
    <w:tmpl w:val="281C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430D9C"/>
    <w:multiLevelType w:val="hybridMultilevel"/>
    <w:tmpl w:val="BC64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2208D"/>
    <w:multiLevelType w:val="hybridMultilevel"/>
    <w:tmpl w:val="FA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B6143"/>
    <w:multiLevelType w:val="hybridMultilevel"/>
    <w:tmpl w:val="49C4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A408E3"/>
    <w:multiLevelType w:val="multilevel"/>
    <w:tmpl w:val="5CF4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13"/>
  </w:num>
  <w:num w:numId="7">
    <w:abstractNumId w:val="2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savePreviewPicture/>
  <w:compat/>
  <w:rsids>
    <w:rsidRoot w:val="00DA070E"/>
    <w:rsid w:val="000738D0"/>
    <w:rsid w:val="000E2907"/>
    <w:rsid w:val="00226440"/>
    <w:rsid w:val="00324B97"/>
    <w:rsid w:val="00380EB2"/>
    <w:rsid w:val="003C0C84"/>
    <w:rsid w:val="0042411B"/>
    <w:rsid w:val="00445D79"/>
    <w:rsid w:val="00503C21"/>
    <w:rsid w:val="005640D1"/>
    <w:rsid w:val="00581220"/>
    <w:rsid w:val="006702B8"/>
    <w:rsid w:val="006D46A8"/>
    <w:rsid w:val="006F53B5"/>
    <w:rsid w:val="007A6F34"/>
    <w:rsid w:val="007A73ED"/>
    <w:rsid w:val="008E6501"/>
    <w:rsid w:val="00C06D2C"/>
    <w:rsid w:val="00CE07BC"/>
    <w:rsid w:val="00D159CB"/>
    <w:rsid w:val="00DA070E"/>
    <w:rsid w:val="00DA74C9"/>
    <w:rsid w:val="00DC1B96"/>
    <w:rsid w:val="00E93E68"/>
    <w:rsid w:val="00EC581E"/>
    <w:rsid w:val="00F9281D"/>
    <w:rsid w:val="00F9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0E"/>
    <w:pPr>
      <w:spacing w:line="360" w:lineRule="auto"/>
    </w:pPr>
    <w:rPr>
      <w:rFonts w:ascii="Arial" w:hAnsi="Arial" w:cs="Arial"/>
      <w:color w:val="000000" w:themeColor="text1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D2C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aliases w:val="Sidebar"/>
    <w:basedOn w:val="Normal"/>
    <w:next w:val="Normal"/>
    <w:link w:val="Heading2Char"/>
    <w:uiPriority w:val="9"/>
    <w:unhideWhenUsed/>
    <w:qFormat/>
    <w:rsid w:val="00581220"/>
    <w:pPr>
      <w:keepNext/>
      <w:keepLines/>
      <w:framePr w:w="2880" w:hSpace="720" w:wrap="around" w:vAnchor="text" w:hAnchor="text" w:xAlign="right" w:y="1"/>
      <w:pBdr>
        <w:top w:val="single" w:sz="48" w:space="1" w:color="DDD9C3" w:themeColor="background2" w:themeShade="E6"/>
        <w:left w:val="single" w:sz="48" w:space="4" w:color="DDD9C3" w:themeColor="background2" w:themeShade="E6"/>
        <w:bottom w:val="single" w:sz="48" w:space="1" w:color="DDD9C3" w:themeColor="background2" w:themeShade="E6"/>
        <w:right w:val="single" w:sz="48" w:space="4" w:color="DDD9C3" w:themeColor="background2" w:themeShade="E6"/>
      </w:pBdr>
      <w:shd w:val="clear" w:color="auto" w:fill="DDD9C3" w:themeFill="background2" w:themeFillShade="E6"/>
      <w:spacing w:before="240" w:after="240"/>
      <w:outlineLvl w:val="1"/>
    </w:pPr>
    <w:rPr>
      <w:rFonts w:eastAsiaTheme="majorEastAsia" w:cstheme="majorBidi"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4B97"/>
    <w:pPr>
      <w:keepNext/>
      <w:keepLines/>
      <w:spacing w:before="200" w:after="0"/>
      <w:outlineLvl w:val="2"/>
    </w:pPr>
    <w:rPr>
      <w:rFonts w:eastAsiaTheme="majorEastAsia"/>
      <w:b/>
      <w:bCs/>
      <w:color w:val="4F81BD" w:themeColor="accent1"/>
    </w:rPr>
  </w:style>
  <w:style w:type="paragraph" w:styleId="Heading4">
    <w:name w:val="heading 4"/>
    <w:aliases w:val="Sidebar Heading"/>
    <w:basedOn w:val="Normal"/>
    <w:next w:val="Normal"/>
    <w:link w:val="Heading4Char"/>
    <w:uiPriority w:val="9"/>
    <w:unhideWhenUsed/>
    <w:qFormat/>
    <w:rsid w:val="00581220"/>
    <w:pPr>
      <w:keepNext/>
      <w:keepLines/>
      <w:shd w:val="clear" w:color="1F497D" w:themeColor="text2" w:fill="1F497D" w:themeFill="text2"/>
      <w:spacing w:before="120" w:after="0"/>
      <w:jc w:val="center"/>
      <w:outlineLvl w:val="3"/>
    </w:pPr>
    <w:rPr>
      <w:rFonts w:eastAsiaTheme="majorEastAsia" w:cstheme="majorBidi"/>
      <w:b/>
      <w:bCs/>
      <w:iCs/>
      <w:color w:val="EEECE1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6D2C"/>
    <w:pPr>
      <w:pBdr>
        <w:bottom w:val="single" w:sz="8" w:space="4" w:color="1F497D" w:themeColor="text2"/>
      </w:pBdr>
      <w:spacing w:after="300" w:line="240" w:lineRule="auto"/>
      <w:contextualSpacing/>
    </w:pPr>
    <w:rPr>
      <w:rFonts w:eastAsiaTheme="majorEastAsia" w:cstheme="majorBidi"/>
      <w:color w:val="4F81BD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6D2C"/>
    <w:rPr>
      <w:rFonts w:ascii="Source Sans Pro" w:eastAsiaTheme="majorEastAsia" w:hAnsi="Source Sans Pro" w:cstheme="majorBidi"/>
      <w:color w:val="4F81BD" w:themeColor="accent1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06D2C"/>
    <w:rPr>
      <w:rFonts w:ascii="Source Sans Pro" w:eastAsiaTheme="majorEastAsia" w:hAnsi="Source Sans Pro" w:cstheme="majorBidi"/>
      <w:b/>
      <w:bCs/>
      <w:color w:val="000000" w:themeColor="text1"/>
      <w:sz w:val="30"/>
      <w:szCs w:val="28"/>
    </w:rPr>
  </w:style>
  <w:style w:type="character" w:customStyle="1" w:styleId="Heading2Char">
    <w:name w:val="Heading 2 Char"/>
    <w:aliases w:val="Sidebar Char"/>
    <w:basedOn w:val="DefaultParagraphFont"/>
    <w:link w:val="Heading2"/>
    <w:uiPriority w:val="9"/>
    <w:rsid w:val="00581220"/>
    <w:rPr>
      <w:rFonts w:ascii="Source Sans Pro" w:eastAsiaTheme="majorEastAsia" w:hAnsi="Source Sans Pro" w:cstheme="majorBidi"/>
      <w:bCs/>
      <w:color w:val="000000" w:themeColor="text1"/>
      <w:sz w:val="20"/>
      <w:szCs w:val="26"/>
      <w:shd w:val="clear" w:color="auto" w:fill="DDD9C3" w:themeFill="background2" w:themeFillShade="E6"/>
    </w:rPr>
  </w:style>
  <w:style w:type="numbering" w:customStyle="1" w:styleId="In-TableList">
    <w:name w:val="In-Table List"/>
    <w:uiPriority w:val="99"/>
    <w:rsid w:val="00C06D2C"/>
    <w:pPr>
      <w:numPr>
        <w:numId w:val="1"/>
      </w:numPr>
    </w:pPr>
  </w:style>
  <w:style w:type="character" w:customStyle="1" w:styleId="Heading4Char">
    <w:name w:val="Heading 4 Char"/>
    <w:aliases w:val="Sidebar Heading Char"/>
    <w:basedOn w:val="DefaultParagraphFont"/>
    <w:link w:val="Heading4"/>
    <w:uiPriority w:val="9"/>
    <w:rsid w:val="00581220"/>
    <w:rPr>
      <w:rFonts w:ascii="Source Sans Pro" w:eastAsiaTheme="majorEastAsia" w:hAnsi="Source Sans Pro" w:cstheme="majorBidi"/>
      <w:b/>
      <w:bCs/>
      <w:iCs/>
      <w:color w:val="EEECE1" w:themeColor="background2"/>
      <w:shd w:val="clear" w:color="1F497D" w:themeColor="text2" w:fill="1F497D" w:themeFill="text2"/>
    </w:rPr>
  </w:style>
  <w:style w:type="paragraph" w:styleId="NormalWeb">
    <w:name w:val="Normal (Web)"/>
    <w:basedOn w:val="Normal"/>
    <w:uiPriority w:val="99"/>
    <w:semiHidden/>
    <w:unhideWhenUsed/>
    <w:rsid w:val="00D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9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59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24B97"/>
    <w:rPr>
      <w:rFonts w:ascii="Arial" w:eastAsiaTheme="majorEastAsia" w:hAnsi="Arial" w:cs="Arial"/>
      <w:b/>
      <w:bCs/>
      <w:color w:val="4F81BD" w:themeColor="accent1"/>
      <w:sz w:val="19"/>
      <w:szCs w:val="19"/>
    </w:rPr>
  </w:style>
  <w:style w:type="character" w:styleId="Strong">
    <w:name w:val="Strong"/>
    <w:basedOn w:val="DefaultParagraphFont"/>
    <w:uiPriority w:val="22"/>
    <w:qFormat/>
    <w:rsid w:val="000E290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0E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.stanford.edu/immunol.html" TargetMode="External"/><Relationship Id="rId13" Type="http://schemas.openxmlformats.org/officeDocument/2006/relationships/hyperlink" Target="https://btg.stanford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bprogram.stanford.edu/" TargetMode="External"/><Relationship Id="rId12" Type="http://schemas.openxmlformats.org/officeDocument/2006/relationships/hyperlink" Target="http://med.stanford.edu/geneticsdevbio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ed.stanford.edu/mstp.html" TargetMode="External"/><Relationship Id="rId11" Type="http://schemas.openxmlformats.org/officeDocument/2006/relationships/hyperlink" Target="https://med.stanford.edu/neurogradprogram.html" TargetMode="External"/><Relationship Id="rId5" Type="http://schemas.openxmlformats.org/officeDocument/2006/relationships/hyperlink" Target="https://biosciadmin.stanford.edu/2019/11/t32-program-websites/" TargetMode="External"/><Relationship Id="rId15" Type="http://schemas.openxmlformats.org/officeDocument/2006/relationships/hyperlink" Target="https://chemh-cbi.stanford.edu/" TargetMode="External"/><Relationship Id="rId10" Type="http://schemas.openxmlformats.org/officeDocument/2006/relationships/hyperlink" Target="http://med.stanford.edu/cancerbiolog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.stanford.edu/molpharmprogram.html" TargetMode="External"/><Relationship Id="rId14" Type="http://schemas.openxmlformats.org/officeDocument/2006/relationships/hyperlink" Target="https://healthpolicy.fsi.stanford.edu/content/stanford-ahrq-health-services-research-training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Graduate Education</dc:creator>
  <cp:lastModifiedBy>Wolfe Gleitsman</cp:lastModifiedBy>
  <cp:revision>8</cp:revision>
  <dcterms:created xsi:type="dcterms:W3CDTF">2019-11-26T00:26:00Z</dcterms:created>
  <dcterms:modified xsi:type="dcterms:W3CDTF">2020-04-08T19:57:00Z</dcterms:modified>
</cp:coreProperties>
</file>